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方正小标宋简体" w:hAnsi="方正小标宋简体" w:eastAsia="方正小标宋简体" w:cs="方正小标宋简体"/>
          <w:b w:val="0"/>
          <w:bCs w:val="0"/>
          <w:sz w:val="30"/>
          <w:szCs w:val="30"/>
          <w:lang w:val="en-US" w:eastAsia="zh-CN"/>
        </w:rPr>
      </w:pPr>
      <w:r>
        <w:rPr>
          <w:rFonts w:hint="eastAsia" w:ascii="方正小标宋简体" w:hAnsi="方正小标宋简体" w:eastAsia="方正小标宋简体" w:cs="方正小标宋简体"/>
          <w:b w:val="0"/>
          <w:bCs w:val="0"/>
          <w:sz w:val="30"/>
          <w:szCs w:val="30"/>
          <w:lang w:val="en-US" w:eastAsia="zh-CN"/>
        </w:rPr>
        <w:t>一、文化金融政策</w:t>
      </w:r>
    </w:p>
    <w:p>
      <w:pPr>
        <w:numPr>
          <w:ilvl w:val="0"/>
          <w:numId w:val="0"/>
        </w:numPr>
        <w:ind w:firstLine="540" w:firstLineChars="200"/>
        <w:rPr>
          <w:rFonts w:hint="eastAsia"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陕西省财政厅、省工信厅印发《关于做好2021年省级中小企业发展专项资金融资服务业务降费奖补项目申报工作的通知》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EFEFE"/>
        <w:spacing w:before="0" w:beforeAutospacing="0" w:after="0" w:afterAutospacing="0" w:line="600" w:lineRule="atLeast"/>
        <w:ind w:left="0" w:right="0" w:firstLine="480"/>
        <w:jc w:val="both"/>
        <w:rPr>
          <w:rFonts w:hint="eastAsia" w:ascii="仿宋" w:hAnsi="仿宋" w:eastAsia="仿宋" w:cs="仿宋"/>
          <w:i w:val="0"/>
          <w:caps w:val="0"/>
          <w:color w:val="333333"/>
          <w:spacing w:val="0"/>
          <w:sz w:val="30"/>
          <w:szCs w:val="30"/>
          <w:shd w:val="clear" w:fill="FEFEFE"/>
          <w:lang w:val="en-US" w:eastAsia="zh-CN"/>
        </w:rPr>
      </w:pPr>
      <w:r>
        <w:rPr>
          <w:rFonts w:hint="eastAsia" w:ascii="仿宋" w:hAnsi="仿宋" w:eastAsia="仿宋" w:cs="仿宋"/>
          <w:i w:val="0"/>
          <w:caps w:val="0"/>
          <w:color w:val="333333"/>
          <w:spacing w:val="0"/>
          <w:sz w:val="30"/>
          <w:szCs w:val="30"/>
          <w:shd w:val="clear" w:fill="FEFEFE"/>
          <w:lang w:val="en-US" w:eastAsia="zh-CN"/>
        </w:rPr>
        <w:t>1月7日，陕西省财政厅联合省工信厅印发《关于做好2021年省级中小企业发展专项资金融资服务业务降费奖补项目申报工作的通知》，面向全省征集2021年省级中小企业发展专项资金融资服务类项目，为陕西省中小企业融资助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EFEFE"/>
        <w:spacing w:before="0" w:beforeAutospacing="0" w:after="0" w:afterAutospacing="0" w:line="600" w:lineRule="atLeast"/>
        <w:ind w:left="0" w:right="0" w:firstLine="480"/>
        <w:jc w:val="both"/>
        <w:rPr>
          <w:rFonts w:hint="eastAsia" w:ascii="仿宋" w:hAnsi="仿宋" w:eastAsia="仿宋" w:cs="仿宋"/>
          <w:i w:val="0"/>
          <w:caps w:val="0"/>
          <w:color w:val="333333"/>
          <w:spacing w:val="0"/>
          <w:sz w:val="30"/>
          <w:szCs w:val="30"/>
          <w:shd w:val="clear" w:fill="FEFEFE"/>
          <w:lang w:val="en-US" w:eastAsia="zh-CN"/>
        </w:rPr>
      </w:pPr>
      <w:r>
        <w:rPr>
          <w:rFonts w:hint="eastAsia" w:ascii="仿宋" w:hAnsi="仿宋" w:eastAsia="仿宋" w:cs="仿宋"/>
          <w:i w:val="0"/>
          <w:caps w:val="0"/>
          <w:color w:val="333333"/>
          <w:spacing w:val="0"/>
          <w:sz w:val="30"/>
          <w:szCs w:val="30"/>
          <w:shd w:val="clear" w:fill="FEFEFE"/>
          <w:lang w:val="en-US" w:eastAsia="zh-CN"/>
        </w:rPr>
        <w:t>根据《通知》，2021年省级中小企业发展专项资金将重点支持以下四个方面：一是支持融资担保业务开展，继续对陕西省融资担保机构开展小微企业担保业务、降低担保收费给予奖补，鼓励担保机构做大小微企业担保的增量业务；二是支持小微企业贷款业务增量扩面，在综合考虑全省普惠小微企业贷款平均利率、申报单位业务规模、增幅及利率降幅等因素的基础上，对2020年小微企业贷款规模大、利率低的银行业金融机构进行分档奖励；三是支持企业在多层次资本市场融资，对2020年“新三板”和“双创板”挂牌的中小企业给予奖励；四是对以知识产权质押获得贷款并按期偿还本息的企业进行贴息支持，拓宽科技型中小企业的融资渠道。</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EFEFE"/>
        <w:spacing w:before="0" w:beforeAutospacing="0" w:after="0" w:afterAutospacing="0" w:line="600" w:lineRule="atLeast"/>
        <w:ind w:right="0" w:firstLine="600" w:firstLineChars="200"/>
        <w:jc w:val="both"/>
        <w:rPr>
          <w:rFonts w:hint="eastAsia" w:ascii="仿宋" w:hAnsi="仿宋" w:eastAsia="仿宋" w:cs="仿宋"/>
          <w:i w:val="0"/>
          <w:caps w:val="0"/>
          <w:color w:val="333333"/>
          <w:spacing w:val="0"/>
          <w:sz w:val="30"/>
          <w:szCs w:val="30"/>
          <w:shd w:val="clear" w:fill="FEFEFE"/>
          <w:lang w:val="en-US" w:eastAsia="zh-CN"/>
        </w:rPr>
      </w:pPr>
      <w:r>
        <w:rPr>
          <w:rFonts w:hint="eastAsia" w:ascii="仿宋" w:hAnsi="仿宋" w:eastAsia="仿宋" w:cs="仿宋"/>
          <w:i w:val="0"/>
          <w:caps w:val="0"/>
          <w:color w:val="333333"/>
          <w:spacing w:val="0"/>
          <w:sz w:val="30"/>
          <w:szCs w:val="30"/>
          <w:shd w:val="clear" w:fill="FEFEFE"/>
          <w:lang w:val="en-US" w:eastAsia="zh-CN"/>
        </w:rPr>
        <w:t>《通知》要求，符合条件的融资担保机构、银行业金融机构、挂牌及融资企业应按照属地申报原则，向所在地工信和财政部门提出申请，逐级申报至省级审核，金融机构降费奖补类项目直接向省级部门申报，并同步在线上提交申请资料。省财政将联合省级相关部门，按程序审核后下达奖补资金。</w:t>
      </w:r>
    </w:p>
    <w:p>
      <w:pPr>
        <w:rPr>
          <w:rFonts w:hint="eastAsia" w:ascii="方正小标宋简体" w:hAnsi="方正小标宋简体" w:eastAsia="方正小标宋简体" w:cs="方正小标宋简体"/>
          <w:b w:val="0"/>
          <w:bCs w:val="0"/>
          <w:sz w:val="30"/>
          <w:szCs w:val="30"/>
          <w:lang w:val="en-US" w:eastAsia="zh-CN"/>
        </w:rPr>
      </w:pPr>
    </w:p>
    <w:p>
      <w:pPr>
        <w:rPr>
          <w:rFonts w:hint="default" w:ascii="方正小标宋简体" w:hAnsi="方正小标宋简体" w:eastAsia="方正小标宋简体" w:cs="方正小标宋简体"/>
          <w:b w:val="0"/>
          <w:bCs w:val="0"/>
          <w:sz w:val="30"/>
          <w:szCs w:val="30"/>
          <w:lang w:val="en-US" w:eastAsia="zh-CN"/>
        </w:rPr>
      </w:pPr>
      <w:r>
        <w:rPr>
          <w:rFonts w:hint="eastAsia" w:ascii="方正小标宋简体" w:hAnsi="方正小标宋简体" w:eastAsia="方正小标宋简体" w:cs="方正小标宋简体"/>
          <w:b w:val="0"/>
          <w:bCs w:val="0"/>
          <w:sz w:val="30"/>
          <w:szCs w:val="30"/>
          <w:lang w:val="en-US" w:eastAsia="zh-CN"/>
        </w:rPr>
        <w:t>二、文化金融模式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jc w:val="both"/>
        <w:rPr>
          <w:rFonts w:hint="eastAsia" w:ascii="仿宋_GB2312" w:hAnsi="仿宋_GB2312" w:eastAsia="仿宋_GB2312" w:cs="仿宋_GB2312"/>
          <w:b w:val="0"/>
          <w:bCs/>
          <w:i w:val="0"/>
          <w:caps w:val="0"/>
          <w:color w:val="3F3F3F"/>
          <w:spacing w:val="-15"/>
          <w:sz w:val="30"/>
          <w:szCs w:val="30"/>
          <w:lang w:val="en-US" w:eastAsia="zh-CN"/>
        </w:rPr>
      </w:pPr>
      <w:r>
        <w:rPr>
          <w:rFonts w:hint="eastAsia" w:ascii="仿宋_GB2312" w:hAnsi="仿宋_GB2312" w:eastAsia="仿宋_GB2312" w:cs="仿宋_GB2312"/>
          <w:b w:val="0"/>
          <w:bCs/>
          <w:i w:val="0"/>
          <w:caps w:val="0"/>
          <w:color w:val="3F3F3F"/>
          <w:spacing w:val="-15"/>
          <w:sz w:val="30"/>
          <w:szCs w:val="30"/>
          <w:lang w:val="en-US" w:eastAsia="zh-CN"/>
        </w:rPr>
        <w:t>1、广东：财政支持“中小融”平台建设，</w:t>
      </w:r>
      <w:r>
        <w:rPr>
          <w:rFonts w:hint="default" w:ascii="仿宋_GB2312" w:hAnsi="仿宋_GB2312" w:eastAsia="仿宋_GB2312" w:cs="仿宋_GB2312"/>
          <w:b w:val="0"/>
          <w:bCs/>
          <w:i w:val="0"/>
          <w:caps w:val="0"/>
          <w:color w:val="3F3F3F"/>
          <w:spacing w:val="-15"/>
          <w:sz w:val="30"/>
          <w:szCs w:val="30"/>
          <w:lang w:val="en-US" w:eastAsia="zh-CN"/>
        </w:rPr>
        <w:t>打造“数字政府+金融科技”赋能中小企业高质量发展的广东模式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firstLine="540" w:firstLineChars="200"/>
        <w:jc w:val="both"/>
        <w:rPr>
          <w:rFonts w:hint="default" w:ascii="仿宋_GB2312" w:hAnsi="仿宋_GB2312" w:eastAsia="仿宋_GB2312" w:cs="仿宋_GB2312"/>
          <w:b w:val="0"/>
          <w:bCs/>
          <w:i w:val="0"/>
          <w:caps w:val="0"/>
          <w:color w:val="3F3F3F"/>
          <w:spacing w:val="-15"/>
          <w:sz w:val="30"/>
          <w:szCs w:val="30"/>
          <w:lang w:val="en-US" w:eastAsia="zh-CN"/>
        </w:rPr>
      </w:pPr>
      <w:r>
        <w:rPr>
          <w:rFonts w:hint="eastAsia" w:ascii="仿宋_GB2312" w:hAnsi="仿宋_GB2312" w:eastAsia="仿宋_GB2312" w:cs="仿宋_GB2312"/>
          <w:b w:val="0"/>
          <w:bCs/>
          <w:i w:val="0"/>
          <w:caps w:val="0"/>
          <w:color w:val="3F3F3F"/>
          <w:spacing w:val="-15"/>
          <w:sz w:val="30"/>
          <w:szCs w:val="30"/>
          <w:lang w:val="en-US" w:eastAsia="zh-CN"/>
        </w:rPr>
        <w:t>自</w:t>
      </w:r>
      <w:r>
        <w:rPr>
          <w:rFonts w:hint="default" w:ascii="仿宋_GB2312" w:hAnsi="仿宋_GB2312" w:eastAsia="仿宋_GB2312" w:cs="仿宋_GB2312"/>
          <w:b w:val="0"/>
          <w:bCs/>
          <w:i w:val="0"/>
          <w:caps w:val="0"/>
          <w:color w:val="3F3F3F"/>
          <w:spacing w:val="-15"/>
          <w:sz w:val="30"/>
          <w:szCs w:val="30"/>
          <w:lang w:val="en-US" w:eastAsia="zh-CN"/>
        </w:rPr>
        <w:t>2020年，广东省财政厅计划安排预算资金6582.32万元，支持“中小融”平台建设，为企业提供信息收集、信用评价、线上融资对接、增信、产业金融服务等一体化线上智能金融服务。</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firstLine="540" w:firstLineChars="200"/>
        <w:jc w:val="both"/>
        <w:rPr>
          <w:rFonts w:hint="default" w:ascii="仿宋_GB2312" w:hAnsi="仿宋_GB2312" w:eastAsia="仿宋_GB2312" w:cs="仿宋_GB2312"/>
          <w:b w:val="0"/>
          <w:bCs/>
          <w:i w:val="0"/>
          <w:caps w:val="0"/>
          <w:color w:val="3F3F3F"/>
          <w:spacing w:val="-15"/>
          <w:sz w:val="30"/>
          <w:szCs w:val="30"/>
          <w:lang w:val="en-US" w:eastAsia="zh-CN"/>
        </w:rPr>
      </w:pPr>
      <w:r>
        <w:rPr>
          <w:rFonts w:hint="default" w:ascii="仿宋_GB2312" w:hAnsi="仿宋_GB2312" w:eastAsia="仿宋_GB2312" w:cs="仿宋_GB2312"/>
          <w:b w:val="0"/>
          <w:bCs/>
          <w:i w:val="0"/>
          <w:caps w:val="0"/>
          <w:color w:val="3F3F3F"/>
          <w:spacing w:val="-15"/>
          <w:sz w:val="30"/>
          <w:szCs w:val="30"/>
          <w:lang w:val="en-US" w:eastAsia="zh-CN"/>
        </w:rPr>
        <w:t>“中小融”平台充分释放“数字政府”在金融场景的应用效能，率先打造“数字政府+金融科技”赋能广东省中小企业高质量发展的广东模式，实现与“广东省政府采购系统”“粤省事”和“粤商通”的互通互联，并开辟了“疫情防控金融服务专区”，为广东中小企业归集、整合疫情防控各项金融支持服务政策，为疫情防控相关企业和受疫情影响较大企业智能对接金融机构专项融资产品，量身定制一揽子、一站式专属融资服务。</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firstLine="540" w:firstLineChars="200"/>
        <w:jc w:val="both"/>
        <w:rPr>
          <w:rFonts w:hint="default" w:ascii="仿宋_GB2312" w:hAnsi="仿宋_GB2312" w:eastAsia="仿宋_GB2312" w:cs="仿宋_GB2312"/>
          <w:b w:val="0"/>
          <w:bCs/>
          <w:i w:val="0"/>
          <w:caps w:val="0"/>
          <w:color w:val="3F3F3F"/>
          <w:spacing w:val="-15"/>
          <w:sz w:val="30"/>
          <w:szCs w:val="30"/>
          <w:lang w:val="en-US" w:eastAsia="zh-CN"/>
        </w:rPr>
      </w:pPr>
      <w:r>
        <w:rPr>
          <w:rFonts w:hint="default" w:ascii="仿宋_GB2312" w:hAnsi="仿宋_GB2312" w:eastAsia="仿宋_GB2312" w:cs="仿宋_GB2312"/>
          <w:b w:val="0"/>
          <w:bCs/>
          <w:i w:val="0"/>
          <w:caps w:val="0"/>
          <w:color w:val="3F3F3F"/>
          <w:spacing w:val="-15"/>
          <w:sz w:val="30"/>
          <w:szCs w:val="30"/>
          <w:lang w:val="en-US" w:eastAsia="zh-CN"/>
        </w:rPr>
        <w:t>“中小融”平台依托政务云平台、政务大数据中心、公共支撑平台，为地市政府、金融机构及小微企业“量体裁衣”，研发贸易融资模块、供应链金融模块、智能直融模块等多个特色应用功能模块。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jc w:val="both"/>
        <w:rPr>
          <w:rFonts w:hint="default" w:ascii="仿宋_GB2312" w:hAnsi="仿宋_GB2312" w:eastAsia="仿宋_GB2312" w:cs="仿宋_GB2312"/>
          <w:b w:val="0"/>
          <w:bCs/>
          <w:i w:val="0"/>
          <w:caps w:val="0"/>
          <w:color w:val="3F3F3F"/>
          <w:spacing w:val="-15"/>
          <w:sz w:val="30"/>
          <w:szCs w:val="30"/>
          <w:lang w:val="en-US"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jc w:val="both"/>
        <w:rPr>
          <w:rFonts w:hint="default" w:ascii="仿宋_GB2312" w:hAnsi="仿宋_GB2312" w:eastAsia="仿宋_GB2312" w:cs="仿宋_GB2312"/>
          <w:b w:val="0"/>
          <w:bCs/>
          <w:i w:val="0"/>
          <w:caps w:val="0"/>
          <w:color w:val="3F3F3F"/>
          <w:spacing w:val="-15"/>
          <w:sz w:val="30"/>
          <w:szCs w:val="30"/>
          <w:lang w:val="en-US" w:eastAsia="zh-CN"/>
        </w:rPr>
      </w:pPr>
      <w:r>
        <w:rPr>
          <w:rFonts w:hint="default" w:ascii="仿宋_GB2312" w:hAnsi="仿宋_GB2312" w:eastAsia="仿宋_GB2312" w:cs="仿宋_GB2312"/>
          <w:b w:val="0"/>
          <w:bCs/>
          <w:i w:val="0"/>
          <w:caps w:val="0"/>
          <w:color w:val="3F3F3F"/>
          <w:spacing w:val="-15"/>
          <w:sz w:val="30"/>
          <w:szCs w:val="30"/>
          <w:lang w:val="en-US" w:eastAsia="zh-CN"/>
        </w:rPr>
        <w:t>　　广东省财政厅还鼓励核心企业与“中小融”平台和中国人民银行征信中心应收账款融资服务平台（以下简称“中征”平台）进行系统对接，依托核心企业信用和真实交易数据，为上下游企业提供无抵押担保的订单融资、应收账款融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firstLine="540" w:firstLineChars="200"/>
        <w:jc w:val="both"/>
        <w:rPr>
          <w:rFonts w:hint="default" w:ascii="仿宋_GB2312" w:hAnsi="仿宋_GB2312" w:eastAsia="仿宋_GB2312" w:cs="仿宋_GB2312"/>
          <w:b w:val="0"/>
          <w:bCs/>
          <w:i w:val="0"/>
          <w:caps w:val="0"/>
          <w:color w:val="3F3F3F"/>
          <w:spacing w:val="-15"/>
          <w:sz w:val="30"/>
          <w:szCs w:val="30"/>
          <w:lang w:val="en-US" w:eastAsia="zh-CN"/>
        </w:rPr>
      </w:pPr>
      <w:r>
        <w:rPr>
          <w:rFonts w:hint="eastAsia" w:ascii="仿宋_GB2312" w:hAnsi="仿宋_GB2312" w:eastAsia="仿宋_GB2312" w:cs="仿宋_GB2312"/>
          <w:b w:val="0"/>
          <w:bCs/>
          <w:i w:val="0"/>
          <w:caps w:val="0"/>
          <w:color w:val="3F3F3F"/>
          <w:spacing w:val="-15"/>
          <w:sz w:val="30"/>
          <w:szCs w:val="30"/>
          <w:lang w:val="en-US" w:eastAsia="zh-CN"/>
        </w:rPr>
        <w:t>此外，</w:t>
      </w:r>
      <w:r>
        <w:rPr>
          <w:rFonts w:hint="default" w:ascii="仿宋_GB2312" w:hAnsi="仿宋_GB2312" w:eastAsia="仿宋_GB2312" w:cs="仿宋_GB2312"/>
          <w:b w:val="0"/>
          <w:bCs/>
          <w:i w:val="0"/>
          <w:caps w:val="0"/>
          <w:color w:val="3F3F3F"/>
          <w:spacing w:val="-15"/>
          <w:sz w:val="30"/>
          <w:szCs w:val="30"/>
          <w:lang w:val="en-US" w:eastAsia="zh-CN"/>
        </w:rPr>
        <w:t>依托“广东省政府采购系统”搭建</w:t>
      </w:r>
      <w:r>
        <w:rPr>
          <w:rFonts w:hint="eastAsia" w:ascii="仿宋_GB2312" w:hAnsi="仿宋_GB2312" w:eastAsia="仿宋_GB2312" w:cs="仿宋_GB2312"/>
          <w:b w:val="0"/>
          <w:bCs/>
          <w:i w:val="0"/>
          <w:caps w:val="0"/>
          <w:color w:val="3F3F3F"/>
          <w:spacing w:val="-15"/>
          <w:sz w:val="30"/>
          <w:szCs w:val="30"/>
          <w:lang w:val="en-US" w:eastAsia="zh-CN"/>
        </w:rPr>
        <w:t>的</w:t>
      </w:r>
      <w:r>
        <w:rPr>
          <w:rFonts w:hint="default" w:ascii="仿宋_GB2312" w:hAnsi="仿宋_GB2312" w:eastAsia="仿宋_GB2312" w:cs="仿宋_GB2312"/>
          <w:b w:val="0"/>
          <w:bCs/>
          <w:i w:val="0"/>
          <w:caps w:val="0"/>
          <w:color w:val="3F3F3F"/>
          <w:spacing w:val="-15"/>
          <w:sz w:val="30"/>
          <w:szCs w:val="30"/>
          <w:lang w:val="en-US" w:eastAsia="zh-CN"/>
        </w:rPr>
        <w:t>政府采购合同融资服务平台，进一步优化和完善与“中小融”平台、“中征”平台的系统对接功能，引导金融机构与供应商通过平台在线开展政府采购合同融资业务，推动实现全流程线上融资。供应商凭借中标（成交）通知书或政府采购合同向金融机构申请融资，金融机构以供应商信用审查和政府采购信誉为基础，按便捷贷款程序和优惠利率，为其发放无财产抵押贷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firstLine="540" w:firstLineChars="200"/>
        <w:jc w:val="both"/>
        <w:rPr>
          <w:rFonts w:hint="default" w:ascii="仿宋_GB2312" w:hAnsi="仿宋_GB2312" w:eastAsia="仿宋_GB2312" w:cs="仿宋_GB2312"/>
          <w:b w:val="0"/>
          <w:bCs/>
          <w:i w:val="0"/>
          <w:caps w:val="0"/>
          <w:color w:val="3F3F3F"/>
          <w:spacing w:val="-15"/>
          <w:sz w:val="30"/>
          <w:szCs w:val="30"/>
          <w:lang w:val="en-US" w:eastAsia="zh-CN"/>
        </w:rPr>
      </w:pPr>
      <w:r>
        <w:rPr>
          <w:rFonts w:hint="default" w:ascii="仿宋_GB2312" w:hAnsi="仿宋_GB2312" w:eastAsia="仿宋_GB2312" w:cs="仿宋_GB2312"/>
          <w:b w:val="0"/>
          <w:bCs/>
          <w:i w:val="0"/>
          <w:caps w:val="0"/>
          <w:color w:val="3F3F3F"/>
          <w:spacing w:val="-15"/>
          <w:sz w:val="30"/>
          <w:szCs w:val="30"/>
          <w:lang w:val="en-US" w:eastAsia="zh-CN"/>
        </w:rPr>
        <w:t>2020年</w:t>
      </w:r>
      <w:r>
        <w:rPr>
          <w:rFonts w:hint="eastAsia" w:ascii="仿宋_GB2312" w:hAnsi="仿宋_GB2312" w:eastAsia="仿宋_GB2312" w:cs="仿宋_GB2312"/>
          <w:b w:val="0"/>
          <w:bCs/>
          <w:i w:val="0"/>
          <w:caps w:val="0"/>
          <w:color w:val="3F3F3F"/>
          <w:spacing w:val="-15"/>
          <w:sz w:val="30"/>
          <w:szCs w:val="30"/>
          <w:lang w:val="en-US" w:eastAsia="zh-CN"/>
        </w:rPr>
        <w:t>广东</w:t>
      </w:r>
      <w:r>
        <w:rPr>
          <w:rFonts w:hint="default" w:ascii="仿宋_GB2312" w:hAnsi="仿宋_GB2312" w:eastAsia="仿宋_GB2312" w:cs="仿宋_GB2312"/>
          <w:b w:val="0"/>
          <w:bCs/>
          <w:i w:val="0"/>
          <w:caps w:val="0"/>
          <w:color w:val="3F3F3F"/>
          <w:spacing w:val="-15"/>
          <w:sz w:val="30"/>
          <w:szCs w:val="30"/>
          <w:lang w:val="en-US" w:eastAsia="zh-CN"/>
        </w:rPr>
        <w:t>省财政安排资金1397万元，对通过“中小融”平台和“中征”平台在线确认账款、支持</w:t>
      </w:r>
      <w:r>
        <w:rPr>
          <w:rFonts w:hint="eastAsia" w:ascii="仿宋_GB2312" w:hAnsi="仿宋_GB2312" w:eastAsia="仿宋_GB2312" w:cs="仿宋_GB2312"/>
          <w:b w:val="0"/>
          <w:bCs/>
          <w:i w:val="0"/>
          <w:caps w:val="0"/>
          <w:color w:val="3F3F3F"/>
          <w:spacing w:val="-15"/>
          <w:sz w:val="30"/>
          <w:szCs w:val="30"/>
          <w:lang w:val="en-US" w:eastAsia="zh-CN"/>
        </w:rPr>
        <w:t>广东</w:t>
      </w:r>
      <w:r>
        <w:rPr>
          <w:rFonts w:hint="default" w:ascii="仿宋_GB2312" w:hAnsi="仿宋_GB2312" w:eastAsia="仿宋_GB2312" w:cs="仿宋_GB2312"/>
          <w:b w:val="0"/>
          <w:bCs/>
          <w:i w:val="0"/>
          <w:caps w:val="0"/>
          <w:color w:val="3F3F3F"/>
          <w:spacing w:val="-15"/>
          <w:sz w:val="30"/>
          <w:szCs w:val="30"/>
          <w:lang w:val="en-US" w:eastAsia="zh-CN"/>
        </w:rPr>
        <w:t>省上游中小企业融资的核心企业，按不超过实际年化融资额的1%给予奖励。截至</w:t>
      </w:r>
      <w:r>
        <w:rPr>
          <w:rFonts w:hint="eastAsia" w:ascii="仿宋_GB2312" w:hAnsi="仿宋_GB2312" w:eastAsia="仿宋_GB2312" w:cs="仿宋_GB2312"/>
          <w:b w:val="0"/>
          <w:bCs/>
          <w:i w:val="0"/>
          <w:caps w:val="0"/>
          <w:color w:val="3F3F3F"/>
          <w:spacing w:val="-15"/>
          <w:sz w:val="30"/>
          <w:szCs w:val="30"/>
          <w:lang w:val="en-US" w:eastAsia="zh-CN"/>
        </w:rPr>
        <w:t>2020年底</w:t>
      </w:r>
      <w:r>
        <w:rPr>
          <w:rFonts w:hint="default" w:ascii="仿宋_GB2312" w:hAnsi="仿宋_GB2312" w:eastAsia="仿宋_GB2312" w:cs="仿宋_GB2312"/>
          <w:b w:val="0"/>
          <w:bCs/>
          <w:i w:val="0"/>
          <w:caps w:val="0"/>
          <w:color w:val="3F3F3F"/>
          <w:spacing w:val="-15"/>
          <w:sz w:val="30"/>
          <w:szCs w:val="30"/>
          <w:lang w:val="en-US" w:eastAsia="zh-CN"/>
        </w:rPr>
        <w:t>，“中小融”平台已申请接入34个部门250项数据，累计入驻金融机构370家，发布金融产品1000余款，发布惠企政策200多条，累计实现融资逾288亿元。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firstLine="540" w:firstLineChars="200"/>
        <w:jc w:val="both"/>
        <w:rPr>
          <w:rFonts w:hint="default" w:ascii="仿宋_GB2312" w:hAnsi="仿宋_GB2312" w:eastAsia="仿宋_GB2312" w:cs="仿宋_GB2312"/>
          <w:b w:val="0"/>
          <w:bCs/>
          <w:i w:val="0"/>
          <w:caps w:val="0"/>
          <w:color w:val="3F3F3F"/>
          <w:spacing w:val="-15"/>
          <w:sz w:val="30"/>
          <w:szCs w:val="30"/>
          <w:lang w:val="en-US"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13" w:lineRule="atLeast"/>
        <w:ind w:right="0"/>
        <w:jc w:val="both"/>
        <w:rPr>
          <w:rFonts w:hint="eastAsia" w:ascii="仿宋_GB2312" w:hAnsi="仿宋_GB2312" w:eastAsia="仿宋_GB2312" w:cs="仿宋_GB2312"/>
          <w:b w:val="0"/>
          <w:bCs/>
          <w:i w:val="0"/>
          <w:caps w:val="0"/>
          <w:color w:val="3F3F3F"/>
          <w:spacing w:val="-15"/>
          <w:sz w:val="30"/>
          <w:szCs w:val="30"/>
          <w:lang w:val="en-US" w:eastAsia="zh-CN"/>
        </w:rPr>
      </w:pPr>
      <w:r>
        <w:rPr>
          <w:rFonts w:hint="eastAsia" w:ascii="仿宋_GB2312" w:hAnsi="仿宋_GB2312" w:eastAsia="仿宋_GB2312" w:cs="仿宋_GB2312"/>
          <w:b w:val="0"/>
          <w:bCs/>
          <w:i w:val="0"/>
          <w:caps w:val="0"/>
          <w:color w:val="3F3F3F"/>
          <w:spacing w:val="-15"/>
          <w:sz w:val="30"/>
          <w:szCs w:val="30"/>
          <w:lang w:val="en-US" w:eastAsia="zh-CN"/>
        </w:rPr>
        <w:t>2、陕西：多措并举推动科技金融服务双创</w:t>
      </w:r>
    </w:p>
    <w:p>
      <w:pPr>
        <w:ind w:firstLine="300" w:firstLineChars="100"/>
        <w:rPr>
          <w:rFonts w:hint="eastAsia" w:ascii="仿宋" w:hAnsi="仿宋" w:eastAsia="仿宋" w:cs="仿宋"/>
          <w:i w:val="0"/>
          <w:caps w:val="0"/>
          <w:color w:val="333333"/>
          <w:spacing w:val="0"/>
          <w:kern w:val="0"/>
          <w:sz w:val="30"/>
          <w:szCs w:val="30"/>
          <w:shd w:val="clear" w:fill="FEFEFE"/>
          <w:lang w:val="en-US" w:eastAsia="zh-CN" w:bidi="ar"/>
        </w:rPr>
      </w:pPr>
      <w:r>
        <w:rPr>
          <w:rFonts w:hint="eastAsia" w:ascii="仿宋" w:hAnsi="仿宋" w:eastAsia="仿宋" w:cs="仿宋"/>
          <w:i w:val="0"/>
          <w:caps w:val="0"/>
          <w:color w:val="333333"/>
          <w:spacing w:val="0"/>
          <w:kern w:val="0"/>
          <w:sz w:val="30"/>
          <w:szCs w:val="30"/>
          <w:shd w:val="clear" w:fill="FEFEFE"/>
          <w:lang w:val="en-US" w:eastAsia="zh-CN" w:bidi="ar"/>
        </w:rPr>
        <w:t>近日，陕西省通过探索信贷融资服务新模式、推出新型科技金融贷款产品、探索搭建科技金融线上服务平台等措施，积极推动科技金融服务双创。</w:t>
      </w:r>
    </w:p>
    <w:p>
      <w:pPr>
        <w:ind w:firstLine="600" w:firstLineChars="200"/>
        <w:rPr>
          <w:rFonts w:hint="eastAsia" w:ascii="仿宋" w:hAnsi="仿宋" w:eastAsia="仿宋" w:cs="仿宋"/>
          <w:i w:val="0"/>
          <w:caps w:val="0"/>
          <w:color w:val="333333"/>
          <w:spacing w:val="0"/>
          <w:kern w:val="0"/>
          <w:sz w:val="30"/>
          <w:szCs w:val="30"/>
          <w:shd w:val="clear" w:fill="FEFEFE"/>
          <w:lang w:val="en-US" w:eastAsia="zh-CN" w:bidi="ar"/>
        </w:rPr>
      </w:pPr>
      <w:r>
        <w:rPr>
          <w:rFonts w:hint="eastAsia" w:ascii="仿宋" w:hAnsi="仿宋" w:eastAsia="仿宋" w:cs="仿宋"/>
          <w:i w:val="0"/>
          <w:caps w:val="0"/>
          <w:color w:val="333333"/>
          <w:spacing w:val="0"/>
          <w:kern w:val="0"/>
          <w:sz w:val="30"/>
          <w:szCs w:val="30"/>
          <w:shd w:val="clear" w:fill="FEFEFE"/>
          <w:lang w:val="en-US" w:eastAsia="zh-CN" w:bidi="ar"/>
        </w:rPr>
        <w:t>探索信贷融资服务新模式。陕西省相关部门积极对接银行业金融机构和在陕创投机构，精准服务科技企业发展各个阶段融资需求。据了解，继2019年与浦发银行、中国银行、建设银行、邮储银行、招商银行等5家银行签订《双创企业金融合作框架协议》，建立深度合作关系后，2020年陕西省与兴业银行、交通银行、长安银行、西安银行、成都银行、民生银行等6家银行签署双创合作协议，共同专项助力解决双创领域科技企业融资难融资贵问题，对中国创新创业大赛（以下简称大赛）获奖企业按照获奖名次、奖金额度同比例放大支持。同时，陕西省鼓励合作银行和创投机构为企业提供面对面金融服务，形成“创投+银行”的“尽调+服务”的大赛工作模式，积极为参赛企业提供投融资服务。</w:t>
      </w:r>
    </w:p>
    <w:p>
      <w:pPr>
        <w:ind w:firstLine="600" w:firstLineChars="200"/>
        <w:rPr>
          <w:rFonts w:hint="eastAsia" w:ascii="仿宋" w:hAnsi="仿宋" w:eastAsia="仿宋" w:cs="仿宋"/>
          <w:i w:val="0"/>
          <w:caps w:val="0"/>
          <w:color w:val="333333"/>
          <w:spacing w:val="0"/>
          <w:kern w:val="0"/>
          <w:sz w:val="30"/>
          <w:szCs w:val="30"/>
          <w:shd w:val="clear" w:fill="FEFEFE"/>
          <w:lang w:val="en-US" w:eastAsia="zh-CN" w:bidi="ar"/>
        </w:rPr>
      </w:pPr>
      <w:r>
        <w:rPr>
          <w:rFonts w:hint="eastAsia" w:ascii="仿宋" w:hAnsi="仿宋" w:eastAsia="仿宋" w:cs="仿宋"/>
          <w:i w:val="0"/>
          <w:caps w:val="0"/>
          <w:color w:val="333333"/>
          <w:spacing w:val="0"/>
          <w:kern w:val="0"/>
          <w:sz w:val="30"/>
          <w:szCs w:val="30"/>
          <w:shd w:val="clear" w:fill="FEFEFE"/>
          <w:lang w:val="en-US" w:eastAsia="zh-CN" w:bidi="ar"/>
        </w:rPr>
        <w:t>推出新型科技金融贷款产品。2020年，浦发银行西安分行与大赛组织方联合推出新型科技信贷产品“接力贷”，按照获奖等级设置相应的科技贷款支持额度，即获得一、二、三等奖企业，按照陕西省科技企业培育计划的后补助经费支持额度最高10倍、8倍、5倍向企业发放科技贷款，大力支持大赛获奖企业创新发展；中国银行陕西省分行与大赛组织方联合推出新型科技信贷产品“双创贷”，按企业获奖情况、企业规模和经营状况等综合因素核定授信额度，原则上最高不超过1000万元，期限1年—3年，广泛服务入围复赛企业。</w:t>
      </w:r>
    </w:p>
    <w:p>
      <w:pPr>
        <w:ind w:firstLine="600" w:firstLineChars="200"/>
        <w:rPr>
          <w:rFonts w:hint="eastAsia" w:ascii="仿宋" w:hAnsi="仿宋" w:eastAsia="仿宋" w:cs="仿宋"/>
          <w:i w:val="0"/>
          <w:caps w:val="0"/>
          <w:color w:val="333333"/>
          <w:spacing w:val="0"/>
          <w:kern w:val="0"/>
          <w:sz w:val="30"/>
          <w:szCs w:val="30"/>
          <w:shd w:val="clear" w:fill="FEFEFE"/>
          <w:lang w:val="en-US" w:eastAsia="zh-CN" w:bidi="ar"/>
        </w:rPr>
      </w:pPr>
      <w:r>
        <w:rPr>
          <w:rFonts w:hint="eastAsia" w:ascii="仿宋" w:hAnsi="仿宋" w:eastAsia="仿宋" w:cs="仿宋"/>
          <w:i w:val="0"/>
          <w:caps w:val="0"/>
          <w:color w:val="333333"/>
          <w:spacing w:val="0"/>
          <w:kern w:val="0"/>
          <w:sz w:val="30"/>
          <w:szCs w:val="30"/>
          <w:shd w:val="clear" w:fill="FEFEFE"/>
          <w:lang w:val="en-US" w:eastAsia="zh-CN" w:bidi="ar"/>
        </w:rPr>
        <w:t>与此同时，陕西省探索搭建科技金融线上服务平台，探索科技金融线上服务模式。</w:t>
      </w:r>
    </w:p>
    <w:p>
      <w:pPr>
        <w:ind w:firstLine="600" w:firstLineChars="200"/>
        <w:rPr>
          <w:rFonts w:hint="eastAsia" w:ascii="仿宋" w:hAnsi="仿宋" w:eastAsia="仿宋" w:cs="仿宋"/>
          <w:i w:val="0"/>
          <w:caps w:val="0"/>
          <w:color w:val="333333"/>
          <w:spacing w:val="0"/>
          <w:kern w:val="0"/>
          <w:sz w:val="30"/>
          <w:szCs w:val="30"/>
          <w:shd w:val="clear" w:fill="FEFEFE"/>
          <w:lang w:val="en-US" w:eastAsia="zh-CN" w:bidi="ar"/>
        </w:rPr>
      </w:pPr>
    </w:p>
    <w:p>
      <w:pPr>
        <w:ind w:firstLine="300" w:firstLineChars="100"/>
        <w:rPr>
          <w:rFonts w:hint="eastAsia" w:ascii="仿宋" w:hAnsi="仿宋" w:eastAsia="仿宋" w:cs="仿宋"/>
          <w:i w:val="0"/>
          <w:caps w:val="0"/>
          <w:color w:val="333333"/>
          <w:spacing w:val="0"/>
          <w:kern w:val="0"/>
          <w:sz w:val="30"/>
          <w:szCs w:val="30"/>
          <w:shd w:val="clear" w:fill="FEFEFE"/>
          <w:lang w:val="en-US" w:eastAsia="zh-CN" w:bidi="ar"/>
        </w:rPr>
      </w:pPr>
      <w:r>
        <w:rPr>
          <w:rFonts w:hint="eastAsia" w:ascii="仿宋" w:hAnsi="仿宋" w:eastAsia="仿宋" w:cs="仿宋"/>
          <w:i w:val="0"/>
          <w:caps w:val="0"/>
          <w:color w:val="333333"/>
          <w:spacing w:val="0"/>
          <w:kern w:val="0"/>
          <w:sz w:val="30"/>
          <w:szCs w:val="30"/>
          <w:shd w:val="clear" w:fill="FEFEFE"/>
          <w:lang w:val="en-US" w:eastAsia="zh-CN" w:bidi="ar"/>
        </w:rPr>
        <w:t>三、文化金融市场动态</w:t>
      </w:r>
    </w:p>
    <w:p>
      <w:pPr>
        <w:numPr>
          <w:ilvl w:val="0"/>
          <w:numId w:val="0"/>
        </w:numPr>
        <w:ind w:firstLine="270" w:firstLineChars="100"/>
        <w:rPr>
          <w:rFonts w:hint="default" w:ascii="仿宋_GB2312" w:hAnsi="仿宋_GB2312" w:eastAsia="仿宋_GB2312" w:cs="仿宋_GB2312"/>
          <w:b w:val="0"/>
          <w:bCs/>
          <w:i w:val="0"/>
          <w:caps w:val="0"/>
          <w:color w:val="3F3F3F"/>
          <w:spacing w:val="-15"/>
          <w:sz w:val="30"/>
          <w:szCs w:val="30"/>
          <w:lang w:val="en-US" w:eastAsia="zh-CN"/>
        </w:rPr>
      </w:pPr>
      <w:r>
        <w:rPr>
          <w:rFonts w:hint="eastAsia" w:ascii="仿宋_GB2312" w:hAnsi="仿宋_GB2312" w:eastAsia="仿宋_GB2312" w:cs="仿宋_GB2312"/>
          <w:b w:val="0"/>
          <w:bCs/>
          <w:i w:val="0"/>
          <w:caps w:val="0"/>
          <w:color w:val="3F3F3F"/>
          <w:spacing w:val="-15"/>
          <w:sz w:val="30"/>
          <w:szCs w:val="30"/>
          <w:lang w:val="en-US" w:eastAsia="zh-CN"/>
        </w:rPr>
        <w:t>1、2020年陕西省文化产业“十百千”工程认定名单公布</w:t>
      </w:r>
    </w:p>
    <w:p>
      <w:pPr>
        <w:numPr>
          <w:ilvl w:val="0"/>
          <w:numId w:val="0"/>
        </w:numPr>
        <w:ind w:firstLine="540" w:firstLineChars="200"/>
        <w:rPr>
          <w:rFonts w:hint="eastAsia"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近日，陕西省文化体制改革与文化产业发展领导小组办公室公布了2020年陕西省文化产业“十百千”工程认定名单。</w:t>
      </w:r>
    </w:p>
    <w:p>
      <w:pPr>
        <w:numPr>
          <w:ilvl w:val="0"/>
          <w:numId w:val="0"/>
        </w:numPr>
        <w:ind w:firstLine="540" w:firstLineChars="200"/>
        <w:rPr>
          <w:rFonts w:hint="eastAsia"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根据《中共陕西省委宣传部　陕西省文化和旅游厅关于推荐陕西省文化产业“十百千”工程重点文化产业园区（基地）和企业的通知》安排，省委宣传部与省文化和旅游厅联合开展了2020年陕西省文化产业“十百千”工程重点文化产业园区（基地）和企业认定工作。</w:t>
      </w:r>
    </w:p>
    <w:p>
      <w:pPr>
        <w:numPr>
          <w:ilvl w:val="0"/>
          <w:numId w:val="0"/>
        </w:numPr>
        <w:ind w:firstLine="540" w:firstLineChars="200"/>
        <w:rPr>
          <w:rFonts w:hint="eastAsia"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陕西省文化体制改革与文化产业发展领导小组会议暨文化体制改革专项小组决定认定延安市枣园文化广场为文化产业示范园区，西安市长安唐村文学艺术产业园、宝鸡市岐山周文化景区、铜川市耀州窑文化基地、西咸新区昆明池·七夕公园等10个园区为文化产业重点园区，西安市北极星数字文化产业园、西安市高新数字创意产业园等20个产业园为文化产业示范基地；认定中国建筑西北设计研究院有限公司、陕西文化产业投资控股（集团）有限公司、英雄互娱科技股份有限公司3家企业为领军型文化企业，陕西长恨歌演艺文化有限公司等36家企业为骨干型文化企业，陕西广电影视文化产业发展有限公司等17家企业为省直高成长型文化企业。选拔2019年度认定的汉中兴汉生态旅游汉文化示范区、西部电影集团有限公司、咸阳彩虹光电科技有限公司、三人行传媒集团股份有限公司为文化产业示范园区和领军型文化企业候选单位。 </w:t>
      </w:r>
    </w:p>
    <w:p>
      <w:pPr>
        <w:numPr>
          <w:ilvl w:val="0"/>
          <w:numId w:val="0"/>
        </w:numPr>
        <w:ind w:firstLine="540" w:firstLineChars="200"/>
        <w:rPr>
          <w:rFonts w:hint="eastAsia" w:ascii="仿宋_GB2312" w:hAnsi="仿宋_GB2312" w:eastAsia="仿宋_GB2312" w:cs="仿宋_GB2312"/>
          <w:b w:val="0"/>
          <w:bCs/>
          <w:i w:val="0"/>
          <w:caps w:val="0"/>
          <w:color w:val="3F3F3F"/>
          <w:spacing w:val="-15"/>
          <w:kern w:val="44"/>
          <w:sz w:val="30"/>
          <w:szCs w:val="30"/>
          <w:lang w:val="en-US" w:eastAsia="zh-CN" w:bidi="ar"/>
        </w:rPr>
      </w:pPr>
      <w:bookmarkStart w:id="0" w:name="_GoBack"/>
      <w:bookmarkEnd w:id="0"/>
    </w:p>
    <w:p>
      <w:pPr>
        <w:numPr>
          <w:ilvl w:val="0"/>
          <w:numId w:val="0"/>
        </w:numPr>
        <w:rPr>
          <w:rFonts w:hint="eastAsia"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2、中国银保监会就多家金融机构违法违规行为依法予以行政处罚</w:t>
      </w:r>
    </w:p>
    <w:p>
      <w:pPr>
        <w:numPr>
          <w:ilvl w:val="0"/>
          <w:numId w:val="0"/>
        </w:numPr>
        <w:ind w:firstLine="540" w:firstLineChars="200"/>
        <w:rPr>
          <w:rFonts w:hint="eastAsia"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近期，中国银保监会严肃查处一批违法违规案件，对国家开发银行、国银金融租赁股份有限公司（以下简称国银租赁）、中国工商银行股份有限公司（以下简称工商银行）、中国邮政储蓄银行股份有限公司（以下简称邮储银行）、中国长城资产管理股份有限公司（以下简称长城公司）、长城新盛信托有限责任公司（以下简称长城新盛信托）、长城华西银行股份有限公司（以下简称长城华西银行）等多家金融机构及相关责任人员依法作出行政处罚决定，处罚金额合计1.995亿元。</w:t>
      </w:r>
    </w:p>
    <w:p>
      <w:pPr>
        <w:numPr>
          <w:ilvl w:val="0"/>
          <w:numId w:val="0"/>
        </w:numPr>
        <w:ind w:firstLine="540" w:firstLineChars="200"/>
        <w:rPr>
          <w:rFonts w:hint="eastAsia"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针对国家开发银行为违规的政府购买服务项目提供融资、违规收取小微企业贷款承诺费等多项违法违规行为，中国银保监会依法予以罚款4880万元；针对其附属机构国银租赁不良资产非洁净出表的违法违规行为，依法予以罚款100万元；同时，对2名责任人员予以警告处罚。</w:t>
      </w:r>
    </w:p>
    <w:p>
      <w:pPr>
        <w:numPr>
          <w:ilvl w:val="0"/>
          <w:numId w:val="0"/>
        </w:numPr>
        <w:ind w:firstLine="540" w:firstLineChars="200"/>
        <w:rPr>
          <w:rFonts w:hint="eastAsia"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针对工商银行理财资金投资他行信贷资产收益权或非标资产收益权、理财产品信息披露不到位等多项违法违规行为，中国银保监会依法予以罚款5470万元。</w:t>
      </w:r>
    </w:p>
    <w:p>
      <w:pPr>
        <w:numPr>
          <w:ilvl w:val="0"/>
          <w:numId w:val="0"/>
        </w:numPr>
        <w:ind w:firstLine="540" w:firstLineChars="200"/>
        <w:rPr>
          <w:rFonts w:hint="eastAsia"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针对邮储银行部分分行为非保本理财产品出具保本承诺、出具与事实不符的理财投资清单等多项违法违规行为，中国银保监会依法予以罚款4550万元；同时，对2名责任人员分别予以警告并处罚款10万元和5万元的行政处罚。</w:t>
      </w:r>
    </w:p>
    <w:p>
      <w:pPr>
        <w:numPr>
          <w:ilvl w:val="0"/>
          <w:numId w:val="0"/>
        </w:numPr>
        <w:ind w:firstLine="540" w:firstLineChars="200"/>
        <w:rPr>
          <w:rFonts w:hint="default" w:ascii="仿宋_GB2312" w:hAnsi="仿宋_GB2312" w:eastAsia="仿宋_GB2312" w:cs="仿宋_GB2312"/>
          <w:b w:val="0"/>
          <w:bCs/>
          <w:i w:val="0"/>
          <w:caps w:val="0"/>
          <w:color w:val="3F3F3F"/>
          <w:spacing w:val="-15"/>
          <w:kern w:val="44"/>
          <w:sz w:val="30"/>
          <w:szCs w:val="30"/>
          <w:lang w:val="en-US" w:eastAsia="zh-CN" w:bidi="ar"/>
        </w:rPr>
      </w:pPr>
      <w:r>
        <w:rPr>
          <w:rFonts w:hint="eastAsia" w:ascii="仿宋_GB2312" w:hAnsi="仿宋_GB2312" w:eastAsia="仿宋_GB2312" w:cs="仿宋_GB2312"/>
          <w:b w:val="0"/>
          <w:bCs/>
          <w:i w:val="0"/>
          <w:caps w:val="0"/>
          <w:color w:val="3F3F3F"/>
          <w:spacing w:val="-15"/>
          <w:kern w:val="44"/>
          <w:sz w:val="30"/>
          <w:szCs w:val="30"/>
          <w:lang w:val="en-US" w:eastAsia="zh-CN" w:bidi="ar"/>
        </w:rPr>
        <w:t>针对长城公司违规对外提供担保、虚增账面利润和考核利润并超发绩效奖励等多项违法违规行为，中国银保监会依法予以罚款4690万元；针对其附属机构长城新盛信托违规设立子公司、抵押物评估严重不审慎的违法违规行为，依法予以罚款150万元；针对其另一附属机构长城华西银行违规接受本行股权作为质物向股东提供融资的违法违规行为，依法予以罚款50万元；同时，对9名责任人员分别予以警告并处罚款5万元的行政处罚，对1名责任人员予以警告处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73D8F"/>
    <w:rsid w:val="00F76C9B"/>
    <w:rsid w:val="014F1487"/>
    <w:rsid w:val="105E576C"/>
    <w:rsid w:val="115E09C7"/>
    <w:rsid w:val="15B916F6"/>
    <w:rsid w:val="163E45FC"/>
    <w:rsid w:val="20F9235F"/>
    <w:rsid w:val="233B792F"/>
    <w:rsid w:val="2DDD4386"/>
    <w:rsid w:val="308B1681"/>
    <w:rsid w:val="308E62CD"/>
    <w:rsid w:val="32D12701"/>
    <w:rsid w:val="33642E67"/>
    <w:rsid w:val="3992505A"/>
    <w:rsid w:val="3DA01BB4"/>
    <w:rsid w:val="41157B1B"/>
    <w:rsid w:val="4B2E3117"/>
    <w:rsid w:val="4E260D09"/>
    <w:rsid w:val="4F334D14"/>
    <w:rsid w:val="50607110"/>
    <w:rsid w:val="53BD3D16"/>
    <w:rsid w:val="55896D02"/>
    <w:rsid w:val="60014C03"/>
    <w:rsid w:val="60086ABD"/>
    <w:rsid w:val="6D6F1C46"/>
    <w:rsid w:val="6D846A15"/>
    <w:rsid w:val="6EDF157C"/>
    <w:rsid w:val="729F51FB"/>
    <w:rsid w:val="73C143FB"/>
    <w:rsid w:val="CFB3EB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FollowedHyperlink"/>
    <w:basedOn w:val="6"/>
    <w:qFormat/>
    <w:uiPriority w:val="0"/>
    <w:rPr>
      <w:color w:val="800080"/>
      <w:u w:val="none"/>
    </w:rPr>
  </w:style>
  <w:style w:type="character" w:styleId="9">
    <w:name w:val="Emphasis"/>
    <w:basedOn w:val="6"/>
    <w:qFormat/>
    <w:uiPriority w:val="0"/>
  </w:style>
  <w:style w:type="character" w:styleId="10">
    <w:name w:val="HTML Acronym"/>
    <w:basedOn w:val="6"/>
    <w:qFormat/>
    <w:uiPriority w:val="0"/>
  </w:style>
  <w:style w:type="character" w:styleId="11">
    <w:name w:val="Hyperlink"/>
    <w:basedOn w:val="6"/>
    <w:qFormat/>
    <w:uiPriority w:val="0"/>
    <w:rPr>
      <w:color w:val="0000FF"/>
      <w:u w:val="none"/>
    </w:rPr>
  </w:style>
  <w:style w:type="character" w:customStyle="1" w:styleId="12">
    <w:name w:val="sp2"/>
    <w:basedOn w:val="6"/>
    <w:qFormat/>
    <w:uiPriority w:val="0"/>
  </w:style>
  <w:style w:type="character" w:customStyle="1" w:styleId="13">
    <w:name w:val="sp21"/>
    <w:basedOn w:val="6"/>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2020-11-11T16:28:00Z</dcterms:created>
  <dc:creator>lenovo</dc:creator>
  <cp:lastModifiedBy>张凡Rocky</cp:lastModifiedBy>
  <dcterms:modified xsi:type="dcterms:W3CDTF">2021-01-11T01:57:18Z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