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autoSpaceDN/>
        <w:bidi w:val="0"/>
        <w:adjustRightInd/>
        <w:snapToGrid/>
        <w:spacing w:line="560" w:lineRule="exact"/>
        <w:rPr>
          <w:rFonts w:hint="eastAsia" w:ascii="黑体" w:hAnsi="黑体" w:eastAsia="黑体"/>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附件1</w:t>
      </w:r>
    </w:p>
    <w:p>
      <w:pPr>
        <w:keepNext w:val="0"/>
        <w:keepLines w:val="0"/>
        <w:pageBreakBefore w:val="0"/>
        <w:kinsoku/>
        <w:overflowPunct/>
        <w:topLinePunct w:val="0"/>
        <w:autoSpaceDE w:val="0"/>
        <w:autoSpaceDN/>
        <w:bidi w:val="0"/>
        <w:adjustRightInd/>
        <w:snapToGrid/>
        <w:spacing w:line="560" w:lineRule="exact"/>
        <w:rPr>
          <w:rFonts w:hint="eastAsia" w:ascii="黑体" w:hAnsi="黑体" w:eastAsia="黑体"/>
          <w:b w:val="0"/>
          <w:bCs w:val="0"/>
          <w:color w:val="000000" w:themeColor="text1"/>
          <w:sz w:val="32"/>
          <w:szCs w:val="32"/>
          <w14:textFill>
            <w14:solidFill>
              <w14:schemeClr w14:val="tx1"/>
            </w14:solidFill>
          </w14:textFill>
        </w:rPr>
      </w:pPr>
    </w:p>
    <w:p>
      <w:pPr>
        <w:keepNext w:val="0"/>
        <w:keepLines w:val="0"/>
        <w:pageBreakBefore w:val="0"/>
        <w:kinsoku/>
        <w:overflowPunct/>
        <w:topLinePunct w:val="0"/>
        <w:autoSpaceDE w:val="0"/>
        <w:autoSpaceDN/>
        <w:bidi w:val="0"/>
        <w:adjustRightInd/>
        <w:snapToGrid/>
        <w:spacing w:line="560" w:lineRule="exact"/>
        <w:jc w:val="center"/>
        <w:rPr>
          <w:rFonts w:ascii="仿宋" w:hAnsi="仿宋" w:eastAsia="仿宋"/>
          <w:color w:val="000000" w:themeColor="text1"/>
          <w:sz w:val="15"/>
          <w:szCs w:val="15"/>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乡村旅游重点项目遴选标准</w:t>
      </w:r>
      <w:r>
        <w:rPr>
          <w:rFonts w:hint="eastAsia" w:ascii="仿宋" w:hAnsi="仿宋" w:eastAsia="仿宋"/>
          <w:color w:val="000000" w:themeColor="text1"/>
          <w:sz w:val="32"/>
          <w:szCs w:val="32"/>
          <w14:textFill>
            <w14:solidFill>
              <w14:schemeClr w14:val="tx1"/>
            </w14:solidFill>
          </w14:textFill>
        </w:rPr>
        <w:t xml:space="preserve"> </w:t>
      </w:r>
    </w:p>
    <w:bookmarkEnd w:id="0"/>
    <w:p>
      <w:pPr>
        <w:pStyle w:val="6"/>
        <w:keepNext w:val="0"/>
        <w:keepLines w:val="0"/>
        <w:pageBreakBefore w:val="0"/>
        <w:widowControl w:val="0"/>
        <w:kinsoku/>
        <w:wordWrap/>
        <w:overflowPunct/>
        <w:topLinePunct w:val="0"/>
        <w:autoSpaceDE w:val="0"/>
        <w:autoSpaceDN/>
        <w:bidi w:val="0"/>
        <w:adjustRightInd/>
        <w:snapToGrid/>
        <w:spacing w:line="560" w:lineRule="exact"/>
        <w:ind w:firstLine="643"/>
        <w:textAlignment w:val="auto"/>
        <w:rPr>
          <w:rFonts w:hint="eastAsia" w:ascii="黑体" w:hAnsi="黑体" w:eastAsia="黑体"/>
          <w:b w:val="0"/>
          <w:bCs/>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一、地区选择</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1.优先选择文化和旅游部、各省（区、市）（含新疆生产建设兵团）文化和旅游厅（局）等部门确定的全国和省级乡村旅游重点村镇、乡村旅游精品线路，</w:t>
      </w:r>
      <w:r>
        <w:rPr>
          <w:rFonts w:hint="eastAsia" w:ascii="仿宋" w:hAnsi="仿宋" w:eastAsia="仿宋"/>
          <w:color w:val="000000" w:themeColor="text1"/>
          <w:sz w:val="32"/>
          <w:szCs w:val="32"/>
          <w:lang w:eastAsia="zh-CN"/>
          <w14:textFill>
            <w14:solidFill>
              <w14:schemeClr w14:val="tx1"/>
            </w14:solidFill>
          </w14:textFill>
        </w:rPr>
        <w:t>以及中国银</w:t>
      </w:r>
      <w:r>
        <w:rPr>
          <w:rFonts w:ascii="仿宋" w:hAnsi="仿宋" w:eastAsia="仿宋"/>
          <w:color w:val="000000" w:themeColor="text1"/>
          <w:sz w:val="32"/>
          <w:szCs w:val="32"/>
          <w14:textFill>
            <w14:solidFill>
              <w14:schemeClr w14:val="tx1"/>
            </w14:solidFill>
          </w14:textFill>
        </w:rPr>
        <w:t>行定点帮扶和对口支援地区（陕西省咸阳市长武县、旬邑县、淳化县、永寿县）、国家乡村振兴重点帮扶县、国家乡村振兴示范县等区域名单内的经营主体。</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b/>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2.优先选择自然和文化资源丰富、基础设施及第三产业配套完善、旅游从业人员占比高、当地居民消费能力强的地区内的经营主体。</w:t>
      </w:r>
    </w:p>
    <w:p>
      <w:pPr>
        <w:pStyle w:val="6"/>
        <w:keepNext w:val="0"/>
        <w:keepLines w:val="0"/>
        <w:pageBreakBefore w:val="0"/>
        <w:widowControl w:val="0"/>
        <w:kinsoku/>
        <w:wordWrap/>
        <w:overflowPunct/>
        <w:topLinePunct w:val="0"/>
        <w:autoSpaceDE w:val="0"/>
        <w:autoSpaceDN/>
        <w:bidi w:val="0"/>
        <w:adjustRightInd/>
        <w:snapToGrid/>
        <w:spacing w:line="560" w:lineRule="exact"/>
        <w:ind w:firstLine="643"/>
        <w:textAlignment w:val="auto"/>
        <w:rPr>
          <w:rFonts w:ascii="黑体" w:hAnsi="黑体" w:eastAsia="黑体"/>
          <w:b w:val="0"/>
          <w:bCs/>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二、客户选择</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1.针对新型农业经营主体，优先选择发展农文旅产业的农村集体经济组织、农民专业合作社、家庭农场、农业龙头企业等。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2.针对乡村民宿，优先选择具有一定规模、成长空间较大、文化特色鲜明、竞争优势突出、财务制度健全、管理优质高效、行业经验不少于2年，经营年限不少于2年的乡村民宿经营业主。</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3.针对乡村旅游规划建设运营、文化和旅游活动策划、乡村文化和旅游创新创业基地等主体，重点选择个人信用状况良好、盈利模式成熟、配套设施齐全、文化特色鲜明、科技含量较高的经营主体。</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b/>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4.针对产业链上下游企业，上游优先选择国家地理标志和国家级、省级非物质文化遗产名录代表性项目内相关特色农产品和手工艺品运营主体，下游优先选择头部在线旅游服务平台。重点选择与核心企业签订长期产供销合同、产权清晰、管理规范、财务健全和经营稳定的上下游产业链条内的企业。</w:t>
      </w:r>
    </w:p>
    <w:p>
      <w:pPr>
        <w:pStyle w:val="6"/>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ascii="黑体" w:hAnsi="黑体" w:eastAsia="黑体"/>
          <w:b w:val="0"/>
          <w:bCs/>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三、项目要求</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1.项目须坚持正确政治方向和价值导向，弘扬社会主义核心价值观。 </w:t>
      </w:r>
    </w:p>
    <w:p>
      <w:pPr>
        <w:pStyle w:val="7"/>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14:textFill>
            <w14:solidFill>
              <w14:schemeClr w14:val="tx1"/>
            </w14:solidFill>
          </w14:textFill>
        </w:rPr>
        <w:t>符合准入</w:t>
      </w:r>
      <w:r>
        <w:rPr>
          <w:rFonts w:hint="eastAsia" w:ascii="仿宋" w:hAnsi="仿宋" w:eastAsia="仿宋" w:cs="仿宋"/>
          <w:color w:val="000000" w:themeColor="text1"/>
          <w:sz w:val="32"/>
          <w:lang w:eastAsia="zh-CN"/>
          <w14:textFill>
            <w14:solidFill>
              <w14:schemeClr w14:val="tx1"/>
            </w14:solidFill>
          </w14:textFill>
        </w:rPr>
        <w:t>的基本</w:t>
      </w:r>
      <w:r>
        <w:rPr>
          <w:rFonts w:hint="eastAsia" w:ascii="仿宋" w:hAnsi="仿宋" w:eastAsia="仿宋" w:cs="仿宋"/>
          <w:color w:val="000000" w:themeColor="text1"/>
          <w:sz w:val="32"/>
          <w14:textFill>
            <w14:solidFill>
              <w14:schemeClr w14:val="tx1"/>
            </w14:solidFill>
          </w14:textFill>
        </w:rPr>
        <w:t>条件</w:t>
      </w:r>
      <w:r>
        <w:rPr>
          <w:rFonts w:hint="eastAsia" w:ascii="仿宋" w:hAnsi="仿宋" w:eastAsia="仿宋" w:cs="仿宋"/>
          <w:color w:val="000000" w:themeColor="text1"/>
          <w:sz w:val="32"/>
          <w:lang w:eastAsia="zh-CN"/>
          <w14:textFill>
            <w14:solidFill>
              <w14:schemeClr w14:val="tx1"/>
            </w14:solidFill>
          </w14:textFill>
        </w:rPr>
        <w:t>：</w:t>
      </w:r>
    </w:p>
    <w:p>
      <w:pPr>
        <w:pStyle w:val="7"/>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企业</w:t>
      </w:r>
      <w:r>
        <w:rPr>
          <w:rFonts w:hint="eastAsia" w:ascii="仿宋" w:hAnsi="仿宋" w:eastAsia="仿宋" w:cs="仿宋"/>
          <w:color w:val="000000" w:themeColor="text1"/>
          <w:sz w:val="32"/>
          <w:szCs w:val="32"/>
          <w:lang w:eastAsia="zh-CN"/>
          <w14:textFill>
            <w14:solidFill>
              <w14:schemeClr w14:val="tx1"/>
            </w14:solidFill>
          </w14:textFill>
        </w:rPr>
        <w:t>（或非企业经营主体）</w:t>
      </w:r>
      <w:r>
        <w:rPr>
          <w:rFonts w:hint="eastAsia" w:ascii="仿宋" w:hAnsi="仿宋" w:eastAsia="仿宋" w:cs="仿宋"/>
          <w:color w:val="000000" w:themeColor="text1"/>
          <w:sz w:val="32"/>
          <w:szCs w:val="32"/>
          <w14:textFill>
            <w14:solidFill>
              <w14:schemeClr w14:val="tx1"/>
            </w14:solidFill>
          </w14:textFill>
        </w:rPr>
        <w:t>持续经营年限在2年</w:t>
      </w:r>
      <w:r>
        <w:rPr>
          <w:rStyle w:val="5"/>
          <w:rFonts w:hint="eastAsia" w:ascii="仿宋" w:hAnsi="仿宋" w:eastAsia="仿宋" w:cs="仿宋"/>
          <w:color w:val="000000" w:themeColor="text1"/>
          <w:sz w:val="32"/>
          <w:szCs w:val="32"/>
          <w14:textFill>
            <w14:solidFill>
              <w14:schemeClr w14:val="tx1"/>
            </w14:solidFill>
          </w14:textFill>
        </w:rPr>
        <w:footnoteReference w:id="0"/>
      </w:r>
      <w:r>
        <w:rPr>
          <w:rFonts w:hint="eastAsia" w:ascii="仿宋" w:hAnsi="仿宋" w:eastAsia="仿宋" w:cs="仿宋"/>
          <w:color w:val="000000" w:themeColor="text1"/>
          <w:sz w:val="32"/>
          <w:szCs w:val="32"/>
          <w14:textFill>
            <w14:solidFill>
              <w14:schemeClr w14:val="tx1"/>
            </w14:solidFill>
          </w14:textFill>
        </w:rPr>
        <w:t>以上，或企业法定代表人/实际控制人的主业从业经验达2年以上；</w:t>
      </w:r>
    </w:p>
    <w:p>
      <w:pPr>
        <w:pStyle w:val="7"/>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14:textFill>
            <w14:solidFill>
              <w14:schemeClr w14:val="tx1"/>
            </w14:solidFill>
          </w14:textFill>
        </w:rPr>
        <w:t>企业及企业实际控制人信用状况良好，非我行主动退出或已核销客户；企业及其实际控制人、法定代表人、受益所有人等关联人员</w:t>
      </w:r>
      <w:r>
        <w:rPr>
          <w:rFonts w:hint="eastAsia" w:ascii="仿宋" w:hAnsi="仿宋" w:eastAsia="仿宋" w:cs="仿宋"/>
          <w:color w:val="000000" w:themeColor="text1"/>
          <w:sz w:val="32"/>
          <w:lang w:eastAsia="zh-CN"/>
          <w14:textFill>
            <w14:solidFill>
              <w14:schemeClr w14:val="tx1"/>
            </w14:solidFill>
          </w14:textFill>
        </w:rPr>
        <w:t>无不良记录。</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黑体" w:hAnsi="黑体" w:eastAsia="黑体"/>
          <w:b w:val="0"/>
          <w:bCs/>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四、风险控制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1.对于存在耕地“非农化”“非粮化”风险、土地违规转让风险、环保标准不达标风险的企业和项目严禁准入。</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2.对于存在新增当地政府隐性债务的项目严禁准入。</w:t>
      </w:r>
    </w:p>
    <w:p>
      <w:pPr>
        <w:keepNext w:val="0"/>
        <w:keepLines w:val="0"/>
        <w:pageBreakBefore w:val="0"/>
        <w:widowControl w:val="0"/>
        <w:kinsoku/>
        <w:wordWrap/>
        <w:overflowPunct/>
        <w:topLinePunct w:val="0"/>
        <w:autoSpaceDN/>
        <w:bidi w:val="0"/>
        <w:adjustRightInd/>
        <w:snapToGrid/>
        <w:spacing w:line="560" w:lineRule="exact"/>
        <w:textAlignment w:val="auto"/>
      </w:pPr>
      <w:r>
        <w:rPr>
          <w:rFonts w:ascii="仿宋" w:hAnsi="仿宋" w:eastAsia="仿宋"/>
          <w:color w:val="000000" w:themeColor="text1"/>
          <w:sz w:val="32"/>
          <w:szCs w:val="32"/>
          <w14:textFill>
            <w14:solidFill>
              <w14:schemeClr w14:val="tx1"/>
            </w14:solidFill>
          </w14:textFill>
        </w:rPr>
        <w:t>3.对于现金流不稳定、没有明显客流量、债务杠杆高的企业谨慎准入</w:t>
      </w:r>
      <w:r>
        <w:rPr>
          <w:rFonts w:hint="eastAsia" w:ascii="仿宋" w:hAnsi="仿宋" w:eastAsia="仿宋"/>
          <w:color w:val="000000" w:themeColor="text1"/>
          <w:sz w:val="32"/>
          <w:szCs w:val="32"/>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pPr>
      <w:r>
        <w:rPr>
          <w:rStyle w:val="5"/>
        </w:rPr>
        <w:footnoteRef/>
      </w:r>
      <w:r>
        <w:rPr>
          <w:rFonts w:hint="eastAsia"/>
        </w:rPr>
        <w:t xml:space="preserve"> </w:t>
      </w:r>
      <w:r>
        <w:rPr>
          <w:rFonts w:hint="eastAsia" w:ascii="楷体" w:hAnsi="楷体" w:eastAsia="楷体"/>
        </w:rPr>
        <w:t>以下四种情况可视为“持续经营年限在2年以上”：（1）企业仅变更名称、增加注册资本、增加股东等，主营业务未发生改变；（2）新建企业是承接原有企业业务的；（3）持续经营跨两个年度，且能够提供至少一个完整会计年度财务报表；（4）新建企业的主要股东或实际控制人有2年以上持续经营同一业务的历史，且新建企业主营业务未发生实质性变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jFmYjI5MmJhMzgxMWM3ODdkZTZkOTAyY2UzZGQifQ=="/>
  </w:docVars>
  <w:rsids>
    <w:rsidRoot w:val="00000000"/>
    <w:rsid w:val="3A5954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character" w:styleId="5">
    <w:name w:val="footnote reference"/>
    <w:basedOn w:val="4"/>
    <w:unhideWhenUsed/>
    <w:qFormat/>
    <w:uiPriority w:val="99"/>
    <w:rPr>
      <w:vertAlign w:val="superscript"/>
    </w:rPr>
  </w:style>
  <w:style w:type="paragraph" w:customStyle="1" w:styleId="6">
    <w:name w:val="List Paragraph"/>
    <w:basedOn w:val="1"/>
    <w:qFormat/>
    <w:uiPriority w:val="0"/>
    <w:pPr>
      <w:ind w:firstLine="420" w:firstLineChars="200"/>
    </w:pPr>
  </w:style>
  <w:style w:type="paragraph" w:customStyle="1" w:styleId="7">
    <w:name w:val="方案正文"/>
    <w:basedOn w:val="1"/>
    <w:qFormat/>
    <w:uiPriority w:val="0"/>
    <w:pPr>
      <w:spacing w:line="580" w:lineRule="exact"/>
      <w:ind w:firstLine="200" w:firstLineChars="200"/>
    </w:pPr>
    <w:rPr>
      <w:rFonts w:ascii="仿宋" w:hAnsi="仿宋" w:eastAsia="仿宋"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2023-08-18T07:20:32Z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9A7266716D144960A3EE57EC2CF91E13_12</vt:lpwstr>
  </property>
</Properties>
</file>